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《宿州市非常规水资源开发利用管理办法（建议修订稿）》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现将《宿州市非常规水资源开发利用管理办法（建议修订稿）》起草说明汇报如下：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健全完善非常规水资源开发利用管理相关制度，是贯彻落实习近平生态文明思想和“节水优先、空</w:t>
      </w:r>
      <w:bookmarkStart w:id="0" w:name="_GoBack"/>
      <w:bookmarkEnd w:id="0"/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间均衡、系统治理、两手发力”治水思路的实际行动，是解决水资源短缺问题和水资源浪费现象的重要举措。2017年，为促进我市非常规水资源有效利用，提高水资源利用效率，保障用水安全，促进经济和社会可持续发展，我市出台了《宿州市非常规水资源开发利用管理办法》。截至目前，《宿州市非常规水资源开发利用管理办法》中部分规范依据</w:t>
      </w:r>
      <w:r>
        <w:rPr>
          <w:rFonts w:hint="default" w:ascii="仿宋_GB2312" w:hAnsi="Simsun" w:eastAsia="仿宋_GB2312"/>
          <w:color w:val="000000"/>
          <w:sz w:val="32"/>
          <w:szCs w:val="32"/>
          <w:lang w:val="en-US" w:eastAsia="zh-CN"/>
        </w:rPr>
        <w:t>已废除</w:t>
      </w: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或更新，已经不适应当下非常规水资源开发利用工作发展，现需对规范进行更新和修订。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《宿州市非常规水资源开发利用管理办法（建议修订稿）》分为六章，共二十五条，主要内容包括：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第一条至第八条为第一章。</w:t>
      </w:r>
      <w:r>
        <w:rPr>
          <w:rFonts w:hint="default" w:ascii="仿宋_GB2312" w:hAnsi="Simsun" w:eastAsia="仿宋_GB2312"/>
          <w:color w:val="000000"/>
          <w:sz w:val="32"/>
          <w:szCs w:val="32"/>
          <w:lang w:val="en-US" w:eastAsia="zh-CN"/>
        </w:rPr>
        <w:t>第一条和第二条明确设立目的及适用范围</w:t>
      </w: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；第三条介绍</w:t>
      </w:r>
      <w:r>
        <w:rPr>
          <w:rFonts w:hint="default" w:ascii="仿宋_GB2312" w:hAnsi="Simsun" w:eastAsia="仿宋_GB2312"/>
          <w:color w:val="000000"/>
          <w:sz w:val="32"/>
          <w:szCs w:val="32"/>
          <w:lang w:val="en-US" w:eastAsia="zh-CN"/>
        </w:rPr>
        <w:t>非常规水资源</w:t>
      </w: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、再生水、</w:t>
      </w:r>
      <w:r>
        <w:rPr>
          <w:rFonts w:hint="default" w:ascii="仿宋_GB2312" w:hAnsi="Simsun" w:eastAsia="仿宋_GB2312"/>
          <w:color w:val="000000"/>
          <w:sz w:val="32"/>
          <w:szCs w:val="32"/>
          <w:lang w:val="en-US" w:eastAsia="zh-CN"/>
        </w:rPr>
        <w:t>非常规水资源利用设施</w:t>
      </w: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的含义；第四条和第五条明确责任部门和优先使用非常规水资源的领域；第六条至第八条明确非常规水资源利用设施建设相关要求。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第九条至第十一条为第二章，主要介绍雨水收集利用设施的设计、施工要求，雨水水质要求及用途。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第十三条至第十六条为第三章，主要介绍再生水水源、再生水利用设施、再生水水质。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第十七条至第二十一条为第四章，对非常规水资源利用设施的日常运行管理进行要求和规定。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第二十二条至第二十三条为第五章，明确了违反办法的法律责任。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Simsu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Simsun" w:eastAsia="仿宋_GB2312"/>
          <w:color w:val="000000"/>
          <w:sz w:val="32"/>
          <w:szCs w:val="32"/>
          <w:lang w:val="en-US" w:eastAsia="zh-CN"/>
        </w:rPr>
        <w:t>第二十四条为第六章，明确了本办法的生效时间。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文件依据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建筑与小区雨水控制及利用工程技术规范（GB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50400-2016）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2《城市污水再生水利用城市杂用水水质标准》（GB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T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18920-2020）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3、《城市污水再生利用景观环境用水水质》（GB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T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18921-2019）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altName w:val="文泉驿微米黑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AF8E55"/>
    <w:rsid w:val="7E6E811C"/>
    <w:rsid w:val="E8FBAEDE"/>
    <w:rsid w:val="FBAF8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2024-03-01T17:40:00Z</dcterms:created>
  <dc:creator>greatwall</dc:creator>
  <cp:lastModifiedBy>幸福的人</cp:lastModifiedBy>
  <dcterms:modified xsi:type="dcterms:W3CDTF">2024-03-01T15:09:30Z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AC20FB0B9152EEB01132E165F317A73F</vt:lpwstr>
  </property>
</Properties>
</file>